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41" w:rsidRPr="00324D92" w:rsidRDefault="00912541" w:rsidP="00912541">
      <w:pPr>
        <w:rPr>
          <w:rFonts w:ascii="Arial" w:hAnsi="Arial"/>
          <w:caps/>
          <w:color w:val="1D2763"/>
          <w:sz w:val="40"/>
          <w:szCs w:val="32"/>
        </w:rPr>
      </w:pPr>
      <w:r w:rsidRPr="00324D92">
        <w:rPr>
          <w:rFonts w:ascii="Arial" w:hAnsi="Arial"/>
          <w:b/>
          <w:caps/>
          <w:color w:val="1D2763"/>
          <w:sz w:val="40"/>
          <w:szCs w:val="32"/>
        </w:rPr>
        <w:t>FINANCE</w:t>
      </w:r>
      <w:r w:rsidRPr="00324D92">
        <w:rPr>
          <w:rFonts w:ascii="Arial" w:hAnsi="Arial"/>
          <w:caps/>
          <w:color w:val="D63C37"/>
          <w:sz w:val="40"/>
          <w:szCs w:val="32"/>
        </w:rPr>
        <w:t xml:space="preserve">| </w:t>
      </w:r>
      <w:r w:rsidRPr="00324D92">
        <w:rPr>
          <w:rFonts w:ascii="Arial" w:hAnsi="Arial"/>
          <w:caps/>
          <w:color w:val="1D2763"/>
          <w:sz w:val="40"/>
          <w:szCs w:val="32"/>
        </w:rPr>
        <w:t>ANALYSis</w:t>
      </w:r>
    </w:p>
    <w:p w:rsidR="00912541" w:rsidRPr="0084673C" w:rsidRDefault="00912541" w:rsidP="00912541">
      <w:pPr>
        <w:tabs>
          <w:tab w:val="left" w:pos="7380"/>
          <w:tab w:val="left" w:pos="8364"/>
        </w:tabs>
        <w:spacing w:line="280" w:lineRule="exact"/>
        <w:jc w:val="both"/>
        <w:rPr>
          <w:rFonts w:ascii="Arial" w:hAnsi="Arial"/>
          <w:b/>
          <w:color w:val="002060"/>
          <w:sz w:val="24"/>
          <w:szCs w:val="24"/>
        </w:rPr>
      </w:pPr>
      <w:r w:rsidRPr="0084673C">
        <w:rPr>
          <w:rFonts w:ascii="Arial" w:hAnsi="Arial"/>
          <w:b/>
          <w:color w:val="002060"/>
          <w:sz w:val="24"/>
          <w:szCs w:val="24"/>
        </w:rPr>
        <w:t xml:space="preserve">This chapter presents Money Supply, People’s Savings, Treasury Bonds, Domestic Interest Rates, International Currency Exchange, </w:t>
      </w:r>
      <w:r w:rsidRPr="00EB7B04">
        <w:rPr>
          <w:rFonts w:ascii="Arial" w:hAnsi="Arial"/>
          <w:b/>
          <w:color w:val="002060"/>
          <w:sz w:val="24"/>
          <w:szCs w:val="24"/>
        </w:rPr>
        <w:t>Equity and Debt Securities Trading</w:t>
      </w:r>
      <w:r>
        <w:rPr>
          <w:rFonts w:ascii="Arial" w:hAnsi="Arial"/>
          <w:b/>
          <w:color w:val="002060"/>
          <w:sz w:val="24"/>
          <w:szCs w:val="24"/>
        </w:rPr>
        <w:t xml:space="preserve">, 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Customs Duties and Revenue from Taxes. </w:t>
      </w:r>
    </w:p>
    <w:p w:rsidR="00912541" w:rsidRDefault="00912541" w:rsidP="00912541">
      <w:pPr>
        <w:tabs>
          <w:tab w:val="left" w:pos="7380"/>
          <w:tab w:val="left" w:pos="8364"/>
        </w:tabs>
        <w:spacing w:line="280" w:lineRule="exact"/>
        <w:jc w:val="both"/>
        <w:rPr>
          <w:rFonts w:ascii="Arial" w:hAnsi="Arial"/>
          <w:b/>
          <w:color w:val="002060"/>
          <w:sz w:val="24"/>
          <w:szCs w:val="24"/>
        </w:rPr>
      </w:pPr>
      <w:r w:rsidRPr="0084673C">
        <w:rPr>
          <w:rFonts w:ascii="Arial" w:hAnsi="Arial"/>
          <w:b/>
          <w:color w:val="002060"/>
          <w:sz w:val="24"/>
          <w:szCs w:val="24"/>
        </w:rPr>
        <w:t xml:space="preserve">The total money supply, including transferable deposits in foreign banks, increased </w:t>
      </w:r>
      <w:r>
        <w:rPr>
          <w:rFonts w:ascii="Arial" w:hAnsi="Arial"/>
          <w:b/>
          <w:color w:val="002060"/>
          <w:sz w:val="24"/>
          <w:szCs w:val="24"/>
        </w:rPr>
        <w:t>37.53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% in 2020-2021 compared to the previous year. However, People’s </w:t>
      </w:r>
      <w:r>
        <w:rPr>
          <w:rFonts w:ascii="Arial" w:hAnsi="Arial"/>
          <w:b/>
          <w:color w:val="002060"/>
          <w:sz w:val="24"/>
          <w:szCs w:val="24"/>
        </w:rPr>
        <w:t>savings decreased, with over 70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% all savings were deposited at private banks. In </w:t>
      </w:r>
      <w:r>
        <w:rPr>
          <w:rFonts w:ascii="Arial" w:hAnsi="Arial"/>
          <w:b/>
          <w:color w:val="002060"/>
          <w:sz w:val="24"/>
          <w:szCs w:val="24"/>
        </w:rPr>
        <w:t>June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 2022, the total sales of government bonds via auction was </w:t>
      </w:r>
      <w:r>
        <w:rPr>
          <w:rFonts w:ascii="Arial" w:hAnsi="Arial"/>
          <w:b/>
          <w:color w:val="002060"/>
          <w:sz w:val="24"/>
          <w:szCs w:val="24"/>
        </w:rPr>
        <w:t>141</w:t>
      </w:r>
      <w:r w:rsidRPr="0084673C">
        <w:rPr>
          <w:rFonts w:ascii="Arial" w:hAnsi="Arial"/>
          <w:b/>
          <w:color w:val="002060"/>
          <w:sz w:val="24"/>
          <w:szCs w:val="24"/>
        </w:rPr>
        <w:t>,0</w:t>
      </w:r>
      <w:r>
        <w:rPr>
          <w:rFonts w:ascii="Arial" w:hAnsi="Arial"/>
          <w:b/>
          <w:color w:val="002060"/>
          <w:sz w:val="24"/>
          <w:szCs w:val="24"/>
        </w:rPr>
        <w:t>3</w:t>
      </w:r>
      <w:r w:rsidRPr="0084673C">
        <w:rPr>
          <w:rFonts w:ascii="Arial" w:hAnsi="Arial"/>
          <w:b/>
          <w:color w:val="002060"/>
          <w:sz w:val="24"/>
          <w:szCs w:val="24"/>
        </w:rPr>
        <w:t>0 million kyats and the total value of outstanding was 10,</w:t>
      </w:r>
      <w:r>
        <w:rPr>
          <w:rFonts w:ascii="Arial" w:hAnsi="Arial"/>
          <w:b/>
          <w:color w:val="002060"/>
          <w:sz w:val="24"/>
          <w:szCs w:val="24"/>
        </w:rPr>
        <w:t>431</w:t>
      </w:r>
      <w:r w:rsidRPr="0084673C">
        <w:rPr>
          <w:rFonts w:ascii="Arial" w:hAnsi="Arial"/>
          <w:b/>
          <w:color w:val="002060"/>
          <w:sz w:val="24"/>
          <w:szCs w:val="24"/>
        </w:rPr>
        <w:t>,</w:t>
      </w:r>
      <w:r>
        <w:rPr>
          <w:rFonts w:ascii="Arial" w:hAnsi="Arial"/>
          <w:b/>
          <w:color w:val="002060"/>
          <w:sz w:val="24"/>
          <w:szCs w:val="24"/>
        </w:rPr>
        <w:t>310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 million kyats. In </w:t>
      </w:r>
      <w:r>
        <w:rPr>
          <w:rFonts w:ascii="Arial" w:hAnsi="Arial"/>
          <w:b/>
          <w:color w:val="002060"/>
          <w:sz w:val="24"/>
          <w:szCs w:val="24"/>
        </w:rPr>
        <w:t>June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 2022, the exchange rate was 1,850.00 kyats per one US dollar.</w:t>
      </w:r>
    </w:p>
    <w:p w:rsidR="00912541" w:rsidRPr="00EB7B04" w:rsidRDefault="00912541" w:rsidP="00912541">
      <w:pPr>
        <w:tabs>
          <w:tab w:val="left" w:pos="7380"/>
          <w:tab w:val="left" w:pos="8364"/>
        </w:tabs>
        <w:spacing w:line="280" w:lineRule="exact"/>
        <w:jc w:val="both"/>
        <w:rPr>
          <w:rFonts w:ascii="Arial" w:hAnsi="Arial"/>
          <w:b/>
          <w:color w:val="002060"/>
          <w:sz w:val="24"/>
          <w:szCs w:val="24"/>
        </w:rPr>
      </w:pPr>
      <w:r w:rsidRPr="00EB7B04">
        <w:rPr>
          <w:rFonts w:ascii="Arial" w:hAnsi="Arial"/>
          <w:b/>
          <w:color w:val="002060"/>
          <w:sz w:val="24"/>
          <w:szCs w:val="24"/>
        </w:rPr>
        <w:t xml:space="preserve">The total equity </w:t>
      </w:r>
      <w:r>
        <w:rPr>
          <w:rFonts w:ascii="Arial" w:hAnsi="Arial"/>
          <w:b/>
          <w:color w:val="002060"/>
          <w:sz w:val="24"/>
          <w:szCs w:val="24"/>
        </w:rPr>
        <w:t>securities trading  decreased 72.66</w:t>
      </w:r>
      <w:r w:rsidRPr="00EB7B04">
        <w:rPr>
          <w:rFonts w:ascii="Arial" w:hAnsi="Arial"/>
          <w:b/>
          <w:color w:val="002060"/>
          <w:sz w:val="24"/>
          <w:szCs w:val="24"/>
        </w:rPr>
        <w:t>% in terms of value and decreased 73.14% in terms of volume(shares) in 2021-2022 compared to the previous year. Debt securities trading i.e the net trading of government treasury bonds and bills through securities companies at the secondary market decreased 84.34% and 3.49% respectively in 2021-2022 compared to the previous year.</w:t>
      </w:r>
    </w:p>
    <w:p w:rsidR="00912541" w:rsidRPr="0084673C" w:rsidRDefault="00912541" w:rsidP="00912541">
      <w:pPr>
        <w:tabs>
          <w:tab w:val="left" w:pos="7380"/>
          <w:tab w:val="left" w:pos="8364"/>
        </w:tabs>
        <w:spacing w:line="280" w:lineRule="exact"/>
        <w:jc w:val="both"/>
        <w:rPr>
          <w:rFonts w:ascii="Arial" w:hAnsi="Arial"/>
          <w:b/>
          <w:color w:val="002060"/>
          <w:sz w:val="24"/>
          <w:szCs w:val="24"/>
        </w:rPr>
      </w:pPr>
      <w:r w:rsidRPr="0084673C">
        <w:rPr>
          <w:rFonts w:ascii="Arial" w:hAnsi="Arial"/>
          <w:b/>
          <w:color w:val="002060"/>
          <w:sz w:val="24"/>
          <w:szCs w:val="24"/>
        </w:rPr>
        <w:t xml:space="preserve">Revenue from Customs duties </w:t>
      </w:r>
      <w:r>
        <w:rPr>
          <w:rFonts w:ascii="Arial" w:hAnsi="Arial"/>
          <w:b/>
          <w:color w:val="002060"/>
          <w:sz w:val="24"/>
          <w:szCs w:val="24"/>
        </w:rPr>
        <w:t>increased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 </w:t>
      </w:r>
      <w:r>
        <w:rPr>
          <w:rFonts w:ascii="Arial" w:hAnsi="Arial"/>
          <w:b/>
          <w:color w:val="002060"/>
          <w:sz w:val="24"/>
          <w:szCs w:val="24"/>
        </w:rPr>
        <w:t>8.15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% in </w:t>
      </w:r>
      <w:r>
        <w:rPr>
          <w:rFonts w:ascii="Arial" w:hAnsi="Arial"/>
          <w:b/>
          <w:color w:val="002060"/>
          <w:sz w:val="24"/>
          <w:szCs w:val="24"/>
        </w:rPr>
        <w:t xml:space="preserve">2021-2022 compared to the previous year. 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Revenue from income taxes was </w:t>
      </w:r>
      <w:r>
        <w:rPr>
          <w:rFonts w:ascii="Arial" w:hAnsi="Arial"/>
          <w:b/>
          <w:color w:val="002060"/>
          <w:sz w:val="24"/>
          <w:szCs w:val="24"/>
        </w:rPr>
        <w:t>44.78</w:t>
      </w:r>
      <w:r w:rsidRPr="0084673C">
        <w:rPr>
          <w:rFonts w:ascii="Arial" w:hAnsi="Arial"/>
          <w:b/>
          <w:color w:val="002060"/>
          <w:sz w:val="24"/>
          <w:szCs w:val="24"/>
        </w:rPr>
        <w:t xml:space="preserve">% of the total revenue from taxes in </w:t>
      </w:r>
      <w:r>
        <w:rPr>
          <w:rFonts w:ascii="Arial" w:hAnsi="Arial"/>
          <w:b/>
          <w:color w:val="002060"/>
          <w:sz w:val="24"/>
          <w:szCs w:val="24"/>
        </w:rPr>
        <w:t>2021-2022</w:t>
      </w:r>
      <w:r w:rsidRPr="0084673C">
        <w:rPr>
          <w:rFonts w:ascii="Arial" w:hAnsi="Arial"/>
          <w:b/>
          <w:color w:val="002060"/>
          <w:sz w:val="24"/>
          <w:szCs w:val="24"/>
        </w:rPr>
        <w:t>.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>MONEY SUPPLY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 xml:space="preserve">The total money supply in the country increased by </w:t>
      </w:r>
      <w:r>
        <w:rPr>
          <w:rFonts w:ascii="Arial" w:hAnsi="Arial" w:cs="Arial"/>
        </w:rPr>
        <w:t>37.53</w:t>
      </w:r>
      <w:r w:rsidRPr="0084673C">
        <w:rPr>
          <w:rFonts w:ascii="Arial" w:hAnsi="Arial" w:cs="Arial"/>
        </w:rPr>
        <w:t xml:space="preserve">% in 2020-2021 compared to the previous year. State owned banks held </w:t>
      </w:r>
      <w:r>
        <w:rPr>
          <w:rFonts w:ascii="Arial" w:hAnsi="Arial" w:cs="Arial"/>
        </w:rPr>
        <w:t>30.21</w:t>
      </w:r>
      <w:r w:rsidRPr="0084673C">
        <w:rPr>
          <w:rFonts w:ascii="Arial" w:hAnsi="Arial" w:cs="Arial"/>
        </w:rPr>
        <w:t xml:space="preserve">% of total transferable deposits in 2019-2020 and </w:t>
      </w:r>
      <w:r>
        <w:rPr>
          <w:rFonts w:ascii="Arial" w:hAnsi="Arial" w:cs="Arial"/>
        </w:rPr>
        <w:t>25.89</w:t>
      </w:r>
      <w:r w:rsidRPr="0084673C">
        <w:rPr>
          <w:rFonts w:ascii="Arial" w:hAnsi="Arial" w:cs="Arial"/>
        </w:rPr>
        <w:t xml:space="preserve">% in 2020-2021 respectively. Over the same period, total of transferable deposits have increased in 2020-2021. Transferable deposits in state owned banks increased by </w:t>
      </w:r>
      <w:r>
        <w:rPr>
          <w:rFonts w:ascii="Arial" w:hAnsi="Arial" w:cs="Arial"/>
        </w:rPr>
        <w:t>12.97</w:t>
      </w:r>
      <w:r w:rsidRPr="0084673C">
        <w:rPr>
          <w:rFonts w:ascii="Arial" w:hAnsi="Arial" w:cs="Arial"/>
        </w:rPr>
        <w:t xml:space="preserve">% and Currency outside depository corporations also increased by </w:t>
      </w:r>
      <w:r>
        <w:rPr>
          <w:rFonts w:ascii="Arial" w:hAnsi="Arial" w:cs="Arial"/>
        </w:rPr>
        <w:t>40.08</w:t>
      </w:r>
      <w:r w:rsidRPr="0084673C">
        <w:rPr>
          <w:rFonts w:ascii="Arial" w:hAnsi="Arial" w:cs="Arial"/>
        </w:rPr>
        <w:t>% in 2020-2021.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/>
          <w:b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>PEOPLE’S SAVINGS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 xml:space="preserve">In 2020-2021, total people’s savings decreased by </w:t>
      </w:r>
      <w:r>
        <w:rPr>
          <w:rFonts w:ascii="Arial" w:hAnsi="Arial" w:cs="Arial"/>
        </w:rPr>
        <w:t>1.86</w:t>
      </w:r>
      <w:r w:rsidRPr="0084673C">
        <w:rPr>
          <w:rFonts w:ascii="Arial" w:hAnsi="Arial" w:cs="Arial"/>
        </w:rPr>
        <w:t xml:space="preserve">% compared to the previous year. Private banks held a majority of total savings deposits, </w:t>
      </w:r>
      <w:r>
        <w:rPr>
          <w:rFonts w:ascii="Arial" w:hAnsi="Arial" w:cs="Arial"/>
        </w:rPr>
        <w:t>69.42%</w:t>
      </w:r>
      <w:r w:rsidRPr="0084673C">
        <w:rPr>
          <w:rFonts w:ascii="Arial" w:hAnsi="Arial" w:cs="Arial"/>
        </w:rPr>
        <w:t xml:space="preserve"> in 2019-2020 and </w:t>
      </w:r>
      <w:r>
        <w:rPr>
          <w:rFonts w:ascii="Arial" w:hAnsi="Arial" w:cs="Arial"/>
        </w:rPr>
        <w:t>68.96</w:t>
      </w:r>
      <w:r w:rsidRPr="0084673C">
        <w:rPr>
          <w:rFonts w:ascii="Arial" w:hAnsi="Arial" w:cs="Arial"/>
        </w:rPr>
        <w:t xml:space="preserve">% in 2020-2021; as well as a majority of time deposits, </w:t>
      </w:r>
      <w:r>
        <w:rPr>
          <w:rFonts w:ascii="Arial" w:hAnsi="Arial" w:cs="Arial"/>
        </w:rPr>
        <w:t>87.18% in 2019-2020 and 86.50</w:t>
      </w:r>
      <w:r w:rsidRPr="0084673C">
        <w:rPr>
          <w:rFonts w:ascii="Arial" w:hAnsi="Arial" w:cs="Arial"/>
        </w:rPr>
        <w:t>% in 2020-2021. People’s savings at private banks are higher than state owned banks. Savings deposits were the most popular savings instruments in 2020-2021.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>TREASURY BONDS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 xml:space="preserve">Fiscal year 2020-2021, the value of total sales decreased </w:t>
      </w:r>
      <w:r>
        <w:rPr>
          <w:rFonts w:ascii="Arial" w:hAnsi="Arial" w:cs="Arial"/>
        </w:rPr>
        <w:t>71.07</w:t>
      </w:r>
      <w:r w:rsidRPr="0084673C">
        <w:rPr>
          <w:rFonts w:ascii="Arial" w:hAnsi="Arial" w:cs="Arial"/>
        </w:rPr>
        <w:t xml:space="preserve">% compared to the previous year. At the time of auction in </w:t>
      </w:r>
      <w:r>
        <w:rPr>
          <w:rFonts w:ascii="Arial" w:hAnsi="Arial" w:cs="Arial"/>
        </w:rPr>
        <w:t>June</w:t>
      </w:r>
      <w:r w:rsidRPr="0084673C">
        <w:rPr>
          <w:rFonts w:ascii="Arial" w:hAnsi="Arial" w:cs="Arial"/>
        </w:rPr>
        <w:t xml:space="preserve"> 2022, the total sale of government treasury bond was </w:t>
      </w:r>
      <w:r>
        <w:rPr>
          <w:rFonts w:ascii="Arial" w:hAnsi="Arial" w:cs="Arial"/>
        </w:rPr>
        <w:t>141,030</w:t>
      </w:r>
      <w:r w:rsidRPr="0084673C">
        <w:rPr>
          <w:rFonts w:ascii="Arial" w:hAnsi="Arial" w:cs="Arial"/>
        </w:rPr>
        <w:t xml:space="preserve"> million kyats.</w:t>
      </w:r>
    </w:p>
    <w:p w:rsidR="00912541" w:rsidRDefault="00912541" w:rsidP="00912541">
      <w:pPr>
        <w:spacing w:line="280" w:lineRule="exact"/>
        <w:jc w:val="both"/>
        <w:rPr>
          <w:rFonts w:ascii="Arial" w:hAnsi="Arial"/>
          <w:b/>
          <w:bCs/>
          <w:color w:val="D63C37"/>
          <w:w w:val="300"/>
          <w:sz w:val="26"/>
          <w:szCs w:val="26"/>
        </w:rPr>
      </w:pPr>
    </w:p>
    <w:p w:rsidR="00912541" w:rsidRDefault="00912541" w:rsidP="00912541">
      <w:pPr>
        <w:spacing w:line="280" w:lineRule="exact"/>
        <w:jc w:val="both"/>
        <w:rPr>
          <w:rFonts w:ascii="Arial" w:hAnsi="Arial"/>
          <w:b/>
          <w:bCs/>
          <w:color w:val="D63C37"/>
          <w:w w:val="300"/>
          <w:sz w:val="26"/>
          <w:szCs w:val="26"/>
        </w:rPr>
      </w:pPr>
    </w:p>
    <w:p w:rsidR="00912541" w:rsidRPr="0084673C" w:rsidRDefault="00912541" w:rsidP="00912541">
      <w:pPr>
        <w:spacing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lastRenderedPageBreak/>
        <w:sym w:font="Wingdings" w:char="F06E"/>
      </w:r>
      <w:r w:rsidRPr="0084673C">
        <w:rPr>
          <w:rFonts w:ascii="Arial" w:hAnsi="Arial"/>
          <w:b/>
          <w:color w:val="1D2763"/>
        </w:rPr>
        <w:t>DOMESTIC INTEREST RATES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>According to the directive of Central Bank of Myanmar 8/2020, the interest rates of Myanmar were reduced from 6.5% to 5.0% per annum for minimum deposit interest rate, from 11.5% to 10.0% per annum for Maximum bank lending rate for secured loans,14.5% for unsecured loans and from 8.5% to 7.0% per annum for Central Bank rate. This directive was affected from 1</w:t>
      </w:r>
      <w:r w:rsidRPr="0084673C">
        <w:rPr>
          <w:rFonts w:ascii="Arial" w:hAnsi="Arial" w:cs="Arial"/>
          <w:vertAlign w:val="superscript"/>
        </w:rPr>
        <w:t>st</w:t>
      </w:r>
      <w:r w:rsidRPr="0084673C">
        <w:rPr>
          <w:rFonts w:ascii="Arial" w:hAnsi="Arial" w:cs="Arial"/>
        </w:rPr>
        <w:t xml:space="preserve"> May 2020.</w:t>
      </w:r>
    </w:p>
    <w:p w:rsidR="00912541" w:rsidRPr="0084673C" w:rsidRDefault="00912541" w:rsidP="00912541">
      <w:pPr>
        <w:spacing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 xml:space="preserve">INTERNATIONAL CURRENCY EXCHANGE </w:t>
      </w:r>
    </w:p>
    <w:p w:rsidR="00912541" w:rsidRDefault="00912541" w:rsidP="00912541">
      <w:pPr>
        <w:spacing w:before="240"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 xml:space="preserve">The value of currency kyat was slightly depreciated onto the hard currency US$ between </w:t>
      </w:r>
      <w:r>
        <w:rPr>
          <w:rFonts w:ascii="Arial" w:hAnsi="Arial" w:cs="Arial"/>
        </w:rPr>
        <w:t>June</w:t>
      </w:r>
      <w:r w:rsidRPr="0084673C">
        <w:rPr>
          <w:rFonts w:ascii="Arial" w:hAnsi="Arial" w:cs="Arial"/>
        </w:rPr>
        <w:t xml:space="preserve"> 2021 and September 2021. However, It was remained the same with 1,778</w:t>
      </w:r>
      <w:r>
        <w:rPr>
          <w:rFonts w:ascii="Arial" w:hAnsi="Arial" w:cs="Arial"/>
        </w:rPr>
        <w:t>.00</w:t>
      </w:r>
      <w:r w:rsidRPr="0084673C">
        <w:rPr>
          <w:rFonts w:ascii="Arial" w:hAnsi="Arial" w:cs="Arial"/>
        </w:rPr>
        <w:t xml:space="preserve"> kyats per one US dollar between December 2021 and March 202</w:t>
      </w:r>
      <w:r>
        <w:rPr>
          <w:rFonts w:ascii="Arial" w:hAnsi="Arial" w:cs="Arial"/>
        </w:rPr>
        <w:t>2</w:t>
      </w:r>
      <w:r w:rsidRPr="0084673C">
        <w:rPr>
          <w:rFonts w:ascii="Arial" w:hAnsi="Arial" w:cs="Arial"/>
        </w:rPr>
        <w:t xml:space="preserve">. In </w:t>
      </w:r>
      <w:r>
        <w:rPr>
          <w:rFonts w:ascii="Arial" w:hAnsi="Arial" w:cs="Arial"/>
        </w:rPr>
        <w:t>June</w:t>
      </w:r>
      <w:r w:rsidRPr="0084673C">
        <w:rPr>
          <w:rFonts w:ascii="Arial" w:hAnsi="Arial" w:cs="Arial"/>
        </w:rPr>
        <w:t xml:space="preserve"> 2022, the exchange rate was 1,850.00 kyats per one US dollar.</w:t>
      </w:r>
    </w:p>
    <w:p w:rsidR="00912541" w:rsidRDefault="00912541" w:rsidP="00912541">
      <w:pPr>
        <w:spacing w:before="240" w:line="280" w:lineRule="exact"/>
        <w:jc w:val="both"/>
        <w:rPr>
          <w:rFonts w:ascii="Arial" w:hAnsi="Arial"/>
          <w:b/>
          <w:color w:val="FF0000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EB7B04">
        <w:rPr>
          <w:rFonts w:ascii="Arial" w:hAnsi="Arial"/>
          <w:b/>
          <w:color w:val="1D2763"/>
        </w:rPr>
        <w:t>EQUITY AND DEBT SECURITIES TRADING</w:t>
      </w:r>
    </w:p>
    <w:p w:rsidR="00912541" w:rsidRPr="00EB7B04" w:rsidRDefault="00912541" w:rsidP="00912541">
      <w:pPr>
        <w:spacing w:after="0" w:line="280" w:lineRule="exact"/>
        <w:jc w:val="both"/>
        <w:rPr>
          <w:rFonts w:ascii="Arial" w:hAnsi="Arial" w:cs="Arial"/>
        </w:rPr>
      </w:pPr>
      <w:r w:rsidRPr="00EB7B04">
        <w:rPr>
          <w:rFonts w:ascii="Arial" w:hAnsi="Arial" w:cs="Arial"/>
        </w:rPr>
        <w:t>Securities trading can be divided into two categories: equity securities trading and debt securities trading. Total value of equity securities trading and total volume of equity securities trading decreased by 72.66% and 73.14 % respectively in 2021-2022. The value of equity securities trading of listed stocks, MCB incresed 17.16% compared to the previous year and The value of equity securities trading of listed stocks, FMI, MTSH, FPB, TMH and EFR decreased 43.56%, 80.63%,79.38%, 68.31% and 81.56% respectively compared to the previous year. The volume of equity securities trading of listed stock, MCB increased 23.08% compared to the previous year and The volume of equity securities trading of listed stocks, FMI, MTSH, FPB, TMH and EFR decreased 34.78%, 77.78%,</w:t>
      </w:r>
      <w:r>
        <w:rPr>
          <w:rFonts w:ascii="Arial" w:hAnsi="Arial" w:cs="Arial"/>
        </w:rPr>
        <w:t xml:space="preserve"> </w:t>
      </w:r>
      <w:r w:rsidRPr="00EB7B04">
        <w:rPr>
          <w:rFonts w:ascii="Arial" w:hAnsi="Arial" w:cs="Arial"/>
        </w:rPr>
        <w:t>76.87%, 67.41% and 81.82% respectively compared to the previous year. Debt securities trading i.e the net trading of government treasury bonds and bills through securities companie</w:t>
      </w:r>
      <w:r>
        <w:rPr>
          <w:rFonts w:ascii="Arial" w:hAnsi="Arial" w:cs="Arial"/>
        </w:rPr>
        <w:t>s</w:t>
      </w:r>
      <w:r w:rsidRPr="00EB7B04">
        <w:rPr>
          <w:rFonts w:ascii="Arial" w:hAnsi="Arial" w:cs="Arial"/>
        </w:rPr>
        <w:t xml:space="preserve"> at the secondary market decreased 84.34% and 3.49% respectively in 2021-2022 compared to the previous year.</w:t>
      </w:r>
    </w:p>
    <w:p w:rsidR="00912541" w:rsidRPr="0084673C" w:rsidRDefault="00912541" w:rsidP="00912541">
      <w:pPr>
        <w:spacing w:before="240"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>REVENUE FROM TAXES</w:t>
      </w:r>
    </w:p>
    <w:p w:rsidR="00912541" w:rsidRPr="0084673C" w:rsidRDefault="00912541" w:rsidP="00912541">
      <w:pPr>
        <w:spacing w:after="0" w:line="280" w:lineRule="exact"/>
        <w:jc w:val="both"/>
        <w:rPr>
          <w:rFonts w:ascii="Arial" w:hAnsi="Arial" w:cs="Arial"/>
        </w:rPr>
      </w:pPr>
      <w:r w:rsidRPr="0084673C">
        <w:rPr>
          <w:rFonts w:ascii="Arial" w:hAnsi="Arial" w:cs="Arial"/>
        </w:rPr>
        <w:t xml:space="preserve">The total revenue from taxes decreased by </w:t>
      </w:r>
      <w:r>
        <w:rPr>
          <w:rFonts w:ascii="Arial" w:hAnsi="Arial" w:cs="Arial"/>
        </w:rPr>
        <w:t>2.59</w:t>
      </w:r>
      <w:r w:rsidRPr="0084673C">
        <w:rPr>
          <w:rFonts w:ascii="Arial" w:hAnsi="Arial" w:cs="Arial"/>
        </w:rPr>
        <w:t xml:space="preserve">% between </w:t>
      </w:r>
      <w:r>
        <w:rPr>
          <w:rFonts w:ascii="Arial" w:hAnsi="Arial" w:cs="Arial"/>
        </w:rPr>
        <w:t>2020-2021</w:t>
      </w:r>
      <w:r w:rsidRPr="0084673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2021.2022</w:t>
      </w:r>
      <w:r w:rsidRPr="0084673C">
        <w:rPr>
          <w:rFonts w:ascii="Arial" w:hAnsi="Arial" w:cs="Arial"/>
        </w:rPr>
        <w:t xml:space="preserve">.The taxes collected on local production and consumption of the public </w:t>
      </w:r>
      <w:r>
        <w:rPr>
          <w:rFonts w:ascii="Arial" w:hAnsi="Arial" w:cs="Arial"/>
        </w:rPr>
        <w:t>in</w:t>
      </w:r>
      <w:r w:rsidRPr="0084673C">
        <w:rPr>
          <w:rFonts w:ascii="Arial" w:hAnsi="Arial" w:cs="Arial"/>
        </w:rPr>
        <w:t xml:space="preserve">creased by </w:t>
      </w:r>
      <w:r>
        <w:rPr>
          <w:rFonts w:ascii="Arial" w:hAnsi="Arial" w:cs="Arial"/>
        </w:rPr>
        <w:t>8.67</w:t>
      </w:r>
      <w:r w:rsidRPr="0084673C">
        <w:rPr>
          <w:rFonts w:ascii="Arial" w:hAnsi="Arial" w:cs="Arial"/>
        </w:rPr>
        <w:t xml:space="preserve">% between </w:t>
      </w:r>
      <w:r>
        <w:rPr>
          <w:rFonts w:ascii="Arial" w:hAnsi="Arial" w:cs="Arial"/>
        </w:rPr>
        <w:t>2020-2021</w:t>
      </w:r>
      <w:r w:rsidRPr="0084673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2021-2022</w:t>
      </w:r>
      <w:r w:rsidRPr="0084673C">
        <w:rPr>
          <w:rFonts w:ascii="Arial" w:hAnsi="Arial" w:cs="Arial"/>
        </w:rPr>
        <w:t>.</w:t>
      </w:r>
    </w:p>
    <w:p w:rsidR="00912541" w:rsidRPr="0084673C" w:rsidRDefault="00912541" w:rsidP="00912541">
      <w:pPr>
        <w:spacing w:before="240" w:line="280" w:lineRule="exact"/>
        <w:jc w:val="both"/>
        <w:rPr>
          <w:rFonts w:ascii="Arial" w:hAnsi="Arial"/>
          <w:b/>
          <w:color w:val="1D2763"/>
        </w:rPr>
      </w:pPr>
      <w:r w:rsidRPr="0084673C">
        <w:rPr>
          <w:rFonts w:ascii="Arial" w:hAnsi="Arial"/>
          <w:b/>
          <w:bCs/>
          <w:color w:val="D63C37"/>
          <w:w w:val="300"/>
          <w:sz w:val="26"/>
          <w:szCs w:val="26"/>
        </w:rPr>
        <w:sym w:font="Wingdings" w:char="F06E"/>
      </w:r>
      <w:r w:rsidRPr="0084673C">
        <w:rPr>
          <w:rFonts w:ascii="Arial" w:hAnsi="Arial"/>
          <w:b/>
          <w:color w:val="1D2763"/>
        </w:rPr>
        <w:t>CUSTOMS DUTIES</w:t>
      </w:r>
    </w:p>
    <w:p w:rsidR="00912541" w:rsidRDefault="00912541" w:rsidP="00912541">
      <w:pPr>
        <w:tabs>
          <w:tab w:val="left" w:pos="567"/>
        </w:tabs>
        <w:spacing w:after="0" w:line="280" w:lineRule="exact"/>
        <w:jc w:val="both"/>
        <w:rPr>
          <w:rFonts w:ascii="Arial" w:hAnsi="Arial" w:cs="Arial"/>
          <w:b/>
          <w:bCs/>
          <w:color w:val="D63C37"/>
          <w:sz w:val="28"/>
          <w:szCs w:val="28"/>
        </w:rPr>
      </w:pPr>
      <w:r w:rsidRPr="0084673C">
        <w:rPr>
          <w:rFonts w:ascii="Arial" w:hAnsi="Arial" w:cs="Arial"/>
        </w:rPr>
        <w:t xml:space="preserve">Import duties are divided into two parts: normal and border trade. Normal trade duty is by far the larger one: the share of normal trade was </w:t>
      </w:r>
      <w:r>
        <w:rPr>
          <w:rFonts w:ascii="Arial" w:hAnsi="Arial" w:cs="Arial"/>
        </w:rPr>
        <w:t>81.35</w:t>
      </w:r>
      <w:r w:rsidRPr="0084673C">
        <w:rPr>
          <w:rFonts w:ascii="Arial" w:hAnsi="Arial" w:cs="Arial"/>
        </w:rPr>
        <w:t xml:space="preserve">% in </w:t>
      </w:r>
      <w:r>
        <w:rPr>
          <w:rFonts w:ascii="Arial" w:hAnsi="Arial" w:cs="Arial"/>
        </w:rPr>
        <w:t>2020-2021</w:t>
      </w:r>
      <w:r w:rsidRPr="0084673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77.08</w:t>
      </w:r>
      <w:r w:rsidRPr="0084673C">
        <w:rPr>
          <w:rFonts w:ascii="Arial" w:hAnsi="Arial" w:cs="Arial"/>
        </w:rPr>
        <w:t xml:space="preserve">% in </w:t>
      </w:r>
      <w:r>
        <w:rPr>
          <w:rFonts w:ascii="Arial" w:hAnsi="Arial" w:cs="Arial"/>
        </w:rPr>
        <w:t>2021-2022</w:t>
      </w:r>
      <w:r w:rsidRPr="0084673C">
        <w:rPr>
          <w:rFonts w:ascii="Arial" w:hAnsi="Arial" w:cs="Arial"/>
        </w:rPr>
        <w:t xml:space="preserve">. Total duties have </w:t>
      </w:r>
      <w:r>
        <w:rPr>
          <w:rFonts w:ascii="Arial" w:hAnsi="Arial" w:cs="Arial"/>
        </w:rPr>
        <w:t>in</w:t>
      </w:r>
      <w:r w:rsidRPr="0084673C">
        <w:rPr>
          <w:rFonts w:ascii="Arial" w:hAnsi="Arial" w:cs="Arial"/>
        </w:rPr>
        <w:t xml:space="preserve">creased </w:t>
      </w:r>
      <w:r>
        <w:rPr>
          <w:rFonts w:ascii="Arial" w:hAnsi="Arial" w:cs="Arial"/>
        </w:rPr>
        <w:t>8.15</w:t>
      </w:r>
      <w:r w:rsidRPr="0084673C">
        <w:rPr>
          <w:rFonts w:ascii="Arial" w:hAnsi="Arial" w:cs="Arial"/>
        </w:rPr>
        <w:t xml:space="preserve">% between </w:t>
      </w:r>
      <w:r>
        <w:rPr>
          <w:rFonts w:ascii="Arial" w:hAnsi="Arial" w:cs="Arial"/>
        </w:rPr>
        <w:t xml:space="preserve">2020-2021 </w:t>
      </w:r>
      <w:r w:rsidRPr="0084673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2021-2022.</w:t>
      </w:r>
    </w:p>
    <w:p w:rsidR="00D24296" w:rsidRPr="00912541" w:rsidRDefault="00D24296" w:rsidP="00912541">
      <w:bookmarkStart w:id="0" w:name="_GoBack"/>
      <w:bookmarkEnd w:id="0"/>
    </w:p>
    <w:sectPr w:rsidR="00D24296" w:rsidRPr="00912541" w:rsidSect="0000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1"/>
    <w:rsid w:val="000037FA"/>
    <w:rsid w:val="00045841"/>
    <w:rsid w:val="00052F69"/>
    <w:rsid w:val="00067385"/>
    <w:rsid w:val="000B3DF7"/>
    <w:rsid w:val="000B5BB2"/>
    <w:rsid w:val="000D51FC"/>
    <w:rsid w:val="0010081C"/>
    <w:rsid w:val="00107A1B"/>
    <w:rsid w:val="001264C5"/>
    <w:rsid w:val="001B47C8"/>
    <w:rsid w:val="001C2923"/>
    <w:rsid w:val="00230FC3"/>
    <w:rsid w:val="002414B2"/>
    <w:rsid w:val="00316A1B"/>
    <w:rsid w:val="00320682"/>
    <w:rsid w:val="00335015"/>
    <w:rsid w:val="003371F7"/>
    <w:rsid w:val="003C50CE"/>
    <w:rsid w:val="003E13E5"/>
    <w:rsid w:val="003E6DFF"/>
    <w:rsid w:val="0044030B"/>
    <w:rsid w:val="004F1340"/>
    <w:rsid w:val="004F7141"/>
    <w:rsid w:val="00592940"/>
    <w:rsid w:val="005C5444"/>
    <w:rsid w:val="0067402B"/>
    <w:rsid w:val="00697CB4"/>
    <w:rsid w:val="006E3397"/>
    <w:rsid w:val="00707161"/>
    <w:rsid w:val="007768EE"/>
    <w:rsid w:val="00827CF2"/>
    <w:rsid w:val="00836609"/>
    <w:rsid w:val="008B4FB0"/>
    <w:rsid w:val="00912541"/>
    <w:rsid w:val="00A01DDB"/>
    <w:rsid w:val="00B01DDF"/>
    <w:rsid w:val="00B02C45"/>
    <w:rsid w:val="00B54B96"/>
    <w:rsid w:val="00B86D69"/>
    <w:rsid w:val="00B929CC"/>
    <w:rsid w:val="00BF0E64"/>
    <w:rsid w:val="00BF6450"/>
    <w:rsid w:val="00CA0B36"/>
    <w:rsid w:val="00CE34CB"/>
    <w:rsid w:val="00CF01E1"/>
    <w:rsid w:val="00D24296"/>
    <w:rsid w:val="00D7568E"/>
    <w:rsid w:val="00DA3E60"/>
    <w:rsid w:val="00DC7755"/>
    <w:rsid w:val="00DE696F"/>
    <w:rsid w:val="00DE6D27"/>
    <w:rsid w:val="00E61EF5"/>
    <w:rsid w:val="00E96881"/>
    <w:rsid w:val="00EB31EC"/>
    <w:rsid w:val="00EB5705"/>
    <w:rsid w:val="00F214A7"/>
    <w:rsid w:val="00FB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1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1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8A07-2D91-4C97-9D2E-C9937A5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Ei Phu</cp:lastModifiedBy>
  <cp:revision>16</cp:revision>
  <dcterms:created xsi:type="dcterms:W3CDTF">2021-07-06T05:07:00Z</dcterms:created>
  <dcterms:modified xsi:type="dcterms:W3CDTF">2022-12-13T10:14:00Z</dcterms:modified>
</cp:coreProperties>
</file>